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AD4CE9">
      <w:pPr>
        <w:spacing w:before="0" w:after="0" w:line="228" w:lineRule="auto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  <w:r w:rsidRPr="002D03DF">
        <w:rPr>
          <w:noProof/>
        </w:rPr>
        <w:drawing>
          <wp:inline distT="0" distB="0" distL="0" distR="0" wp14:anchorId="4D856CED" wp14:editId="12B0A82D">
            <wp:extent cx="5613400" cy="4801192"/>
            <wp:effectExtent l="0" t="0" r="635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80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65368E" w:rsidRPr="00AD4CE9" w:rsidRDefault="0065368E" w:rsidP="00AD4CE9">
      <w:pPr>
        <w:spacing w:before="0" w:after="0" w:line="228" w:lineRule="auto"/>
        <w:rPr>
          <w:rFonts w:ascii="Tahoma" w:hAnsi="Tahoma" w:cs="Tahoma"/>
        </w:rPr>
      </w:pPr>
    </w:p>
    <w:p w:rsidR="0065368E" w:rsidRPr="00AD4CE9" w:rsidRDefault="0065368E" w:rsidP="00AD4CE9">
      <w:pPr>
        <w:spacing w:before="0" w:after="0" w:line="228" w:lineRule="auto"/>
        <w:jc w:val="center"/>
        <w:rPr>
          <w:rFonts w:ascii="Tahoma" w:hAnsi="Tahoma" w:cs="Tahoma"/>
        </w:rPr>
      </w:pPr>
      <w:r w:rsidRPr="00AD4CE9">
        <w:rPr>
          <w:rFonts w:ascii="Tahoma" w:hAnsi="Tahoma" w:cs="Tahoma"/>
          <w:noProof/>
        </w:rPr>
        <w:drawing>
          <wp:inline distT="0" distB="0" distL="0" distR="0" wp14:anchorId="44571193" wp14:editId="5B4A0CD1">
            <wp:extent cx="4572000" cy="28956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5368E" w:rsidRPr="00AD4CE9" w:rsidRDefault="0065368E" w:rsidP="00AD4CE9">
      <w:pPr>
        <w:spacing w:before="0" w:after="0" w:line="228" w:lineRule="auto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 Municipio de Melgar, en su Balance General Consolidado a 31 de diciembre de 2015 registra un total de activos de $259.929,3 millones que comparado con el saldo alcanzado en la vigencia 2014 ($225.194,7 millones) refleja un incremento del 15.42%.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se encuentra la cuenta de Efectivo, cuyo saldo presentó una disminución  entre las dos vigencias (2014-2015) del 32.86% al pasar de $30.260,5 millones a $20.316,2 millones.</w:t>
      </w:r>
      <w:r w:rsidR="00063566">
        <w:rPr>
          <w:rFonts w:ascii="Tahoma" w:hAnsi="Tahoma" w:cs="Tahoma"/>
        </w:rPr>
        <w:t xml:space="preserve"> El saldo de $19.804.5 millones que representaron el 97.48% de los recursos del municipio se encontraban consignados al finalizar la vigencia en cuentas de ahorro.</w:t>
      </w:r>
      <w:r>
        <w:rPr>
          <w:rFonts w:ascii="Tahoma" w:hAnsi="Tahoma" w:cs="Tahoma"/>
        </w:rPr>
        <w:t xml:space="preserve">  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06356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saldo de las inversiones ($1.070 millones) no presentaron modificación alguna entre las dos vigencias.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06356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comportamiento de las Rentas por Cobrar, reflejan un incremento del 4.31% al pasar de $9.431,9  millones a $9.838.04 millones, correspondiendo el 81.23% del saldo  a vigencias anteriores, las cuales fueron cuantificadas en $7.991,8 millones, cifra que alcanz</w:t>
      </w:r>
      <w:r w:rsidR="005A4F01">
        <w:rPr>
          <w:rFonts w:ascii="Tahoma" w:hAnsi="Tahoma" w:cs="Tahoma"/>
        </w:rPr>
        <w:t xml:space="preserve">ó al cierre del </w:t>
      </w:r>
      <w:r>
        <w:rPr>
          <w:rFonts w:ascii="Tahoma" w:hAnsi="Tahoma" w:cs="Tahoma"/>
        </w:rPr>
        <w:t xml:space="preserve"> </w:t>
      </w:r>
      <w:r w:rsidR="005A4F01">
        <w:rPr>
          <w:rFonts w:ascii="Tahoma" w:hAnsi="Tahoma" w:cs="Tahoma"/>
        </w:rPr>
        <w:t xml:space="preserve">periodo fiscal </w:t>
      </w:r>
      <w:r>
        <w:rPr>
          <w:rFonts w:ascii="Tahoma" w:hAnsi="Tahoma" w:cs="Tahoma"/>
        </w:rPr>
        <w:t xml:space="preserve"> un crecimiento del 4.88%</w:t>
      </w:r>
      <w:r w:rsidR="005A4F0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 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El saldo de la cuenta Deudores a 31 de diciembre de 2015 fue de $20.432,07  millones, presentando una disminución del 0.81% frente a lo registrado en la vigencia 2014 ($20.599,9 millones).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mayor representatividad dentro del grupo del Activo corresponde a “Otros Activos, cuenta que al finalizar la anualidad 2015, registró  en su saldo la suma de $33.256,9 millones, con una variación positiva del 14.02%al pasar de $29.167,1 millones (2014) a $33.256,9 millones en el (2015).</w:t>
      </w: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de Propiedad, Planta y Equipo y Bienes de uso público obtuvieron un incremento al finalizar la vigencia 2015 del 30.37% y 27.44% respectivamente.</w:t>
      </w: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5C163A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saldo de la cuenta Propiedad, Planta y Equipo pasó de $106.092,6 millones en el (2014) a $138.308,6 millones, incremento que obedeció a las inversiones efectuadas en establecimientos educativos e instalaciones deportivas y de recreación realizadas con ocasión a la celebración de los juegos nacionales.</w:t>
      </w:r>
    </w:p>
    <w:p w:rsidR="005C163A" w:rsidRDefault="005C163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C163A" w:rsidRDefault="002D3A8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grupo de cuentas del Pasivo, presentaron un incremento entre las vigencias 2014 y 2015 del 58.80% al pasar de $39.818,4 millones a $63.230,3 millones.  El </w:t>
      </w:r>
      <w:r w:rsidR="004674EF">
        <w:rPr>
          <w:rFonts w:ascii="Tahoma" w:hAnsi="Tahoma" w:cs="Tahoma"/>
        </w:rPr>
        <w:t xml:space="preserve">mayor </w:t>
      </w:r>
      <w:r>
        <w:rPr>
          <w:rFonts w:ascii="Tahoma" w:hAnsi="Tahoma" w:cs="Tahoma"/>
        </w:rPr>
        <w:t xml:space="preserve">incremento lo tuvo la cuenta de “Crédito Público y Financiamiento con la Banca Central”, </w:t>
      </w:r>
      <w:r w:rsidR="006C051C">
        <w:rPr>
          <w:rFonts w:ascii="Tahoma" w:hAnsi="Tahoma" w:cs="Tahoma"/>
        </w:rPr>
        <w:t>pasando de un saldo de $250 millones en el 2014  a un endeudamiento de $13.747,5 millones en el 2015, que representan un crecimiento del 5.399,04% entre las dos vigencias.</w:t>
      </w:r>
    </w:p>
    <w:p w:rsidR="006C051C" w:rsidRDefault="006C051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C051C" w:rsidRDefault="006C051C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por Pagar de igual forma presentaron un aumento en su saldo del 49.56% mientras que el saldo de la cuenta  “Obligaciones Laborales”  tan solo se afectó positivamente en el 1.85% al pasar de $414,05 millones a $421,7 millones.</w:t>
      </w:r>
    </w:p>
    <w:p w:rsidR="006C051C" w:rsidRDefault="006C051C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C051C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Patrimonio </w:t>
      </w:r>
      <w:r w:rsidR="006C051C">
        <w:rPr>
          <w:rFonts w:ascii="Tahoma" w:hAnsi="Tahoma" w:cs="Tahoma"/>
        </w:rPr>
        <w:t xml:space="preserve"> refleja</w:t>
      </w:r>
      <w:r>
        <w:rPr>
          <w:rFonts w:ascii="Tahoma" w:hAnsi="Tahoma" w:cs="Tahoma"/>
        </w:rPr>
        <w:t xml:space="preserve"> </w:t>
      </w:r>
      <w:r w:rsidR="006C051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un aumento en el saldo del 6.11% esto es $11.322,7 millones, generado por el incremento en el resultado del ejercicio, pasando  de$12.738,7 millones en el 2014  a $19.225,5 millones en el 2015.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Pr="00AD4CE9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BC5D7D" w:rsidRDefault="00BC5D7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ESTADO DE ACTIVIDAD FINANCIERA, ECONÓMICA, SOCIAL Y AMBIENTAL COMPARATIVO</w:t>
      </w:r>
    </w:p>
    <w:p w:rsidR="00AD4CE9" w:rsidRPr="00AD4CE9" w:rsidRDefault="00AD4CE9" w:rsidP="00AD4CE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  <w:r w:rsidRPr="004674EF">
        <w:rPr>
          <w:noProof/>
        </w:rPr>
        <w:drawing>
          <wp:inline distT="0" distB="0" distL="0" distR="0" wp14:anchorId="0A3E1FAD" wp14:editId="0C51DFF5">
            <wp:extent cx="5613400" cy="5874533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87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5D533E" w:rsidP="00AD4CE9">
      <w:pPr>
        <w:spacing w:before="0" w:after="0" w:line="228" w:lineRule="auto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4141AACF" wp14:editId="0BBE1C13">
            <wp:extent cx="4572000" cy="3057525"/>
            <wp:effectExtent l="0" t="0" r="19050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Analizado el Estado de Actividad Financiera del Municipio de Melgar </w:t>
      </w:r>
      <w:r w:rsidR="006D20E4">
        <w:rPr>
          <w:rFonts w:ascii="Tahoma" w:hAnsi="Tahoma" w:cs="Tahoma"/>
        </w:rPr>
        <w:t>a 31 de diciembre de 2015 frente al resultado obtenido en el 2014, se puede determinar que los ingresos presentaron entre las dos vigencias un incremento del 39.48% es decir $18.522,1 millones</w:t>
      </w:r>
      <w:r w:rsidR="005D66B0">
        <w:rPr>
          <w:rFonts w:ascii="Tahoma" w:hAnsi="Tahoma" w:cs="Tahoma"/>
        </w:rPr>
        <w:t xml:space="preserve">, </w:t>
      </w:r>
      <w:r w:rsidR="006D20E4">
        <w:rPr>
          <w:rFonts w:ascii="Tahoma" w:hAnsi="Tahoma" w:cs="Tahoma"/>
        </w:rPr>
        <w:t xml:space="preserve"> al pasar de $ 46.920,05 millones  </w:t>
      </w:r>
      <w:r w:rsidR="005D66B0">
        <w:rPr>
          <w:rFonts w:ascii="Tahoma" w:hAnsi="Tahoma" w:cs="Tahoma"/>
        </w:rPr>
        <w:t>en el 2014 a $65.442</w:t>
      </w:r>
      <w:r w:rsidR="00AA22C9">
        <w:rPr>
          <w:rFonts w:ascii="Tahoma" w:hAnsi="Tahoma" w:cs="Tahoma"/>
        </w:rPr>
        <w:t>,2 millones en el 2015, resultado que deja en evidencia la gestión que adelantó la administración municipal para recaudar los recursos propios.</w:t>
      </w: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recursos provenientes del Sis</w:t>
      </w:r>
      <w:r w:rsidR="00B21A6F">
        <w:rPr>
          <w:rFonts w:ascii="Tahoma" w:hAnsi="Tahoma" w:cs="Tahoma"/>
        </w:rPr>
        <w:t>tema General de Participaciones incrementaron en un 37.70% el saldo obtenido en</w:t>
      </w:r>
      <w:r w:rsidR="009471EB">
        <w:rPr>
          <w:rFonts w:ascii="Tahoma" w:hAnsi="Tahoma" w:cs="Tahoma"/>
        </w:rPr>
        <w:t xml:space="preserve"> la vigencia 2014, finalizando la anualidad (2015) con saldo $26.257,1 millones.  Los recursos provenientes de Regalías mantuvieron de igual forma un crecimiento positivo del 35.76%pasando de $9.907,4 millones en el 2014 a $13.450.1 millones en el 2015.</w:t>
      </w: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9471E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gastos al igual que los ingresos mantuvieron un crecimiento proporcional alcanzando un mayor valor de $12.035,4 millones entre las dos vigencias.  Dentro de este grupo de cuentas resalta el incremento de saldos de las cuentas “Impuestos, Contribuciones y Tasas” y </w:t>
      </w:r>
      <w:r w:rsidR="000E42DA">
        <w:rPr>
          <w:rFonts w:ascii="Tahoma" w:hAnsi="Tahoma" w:cs="Tahoma"/>
        </w:rPr>
        <w:t>“Operaciones Interinstitucionales “las cuales finalizaron con incrementos del 565% y 447.2% respectivamente.</w:t>
      </w:r>
    </w:p>
    <w:p w:rsidR="000E42DA" w:rsidRDefault="000E42D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el  </w:t>
      </w:r>
      <w:r w:rsidR="00E35BA6">
        <w:rPr>
          <w:rFonts w:ascii="Tahoma" w:hAnsi="Tahoma" w:cs="Tahoma"/>
        </w:rPr>
        <w:t>“Gasto Público Social”</w:t>
      </w:r>
      <w:r>
        <w:rPr>
          <w:rFonts w:ascii="Tahoma" w:hAnsi="Tahoma" w:cs="Tahoma"/>
        </w:rPr>
        <w:t>, la cuenta de mayor representatividad fue la de “Vivienda” registrando un crecimiento  porcentual de 1.96%, al pasar de una inversión de $13.550 millones a $175.663 millones.  En cuanto a los sectores de Cultura y Desarrollo Económico  demandaron un incremento en sus saldos del 87.85% y 83.57%  respectivamente, mientras que los sectores de Educación y Salud tan solo alcanzaron un incremento en sus saldos del 8.79% y 18.77%.</w:t>
      </w: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AD4CE9">
      <w:pPr>
        <w:pStyle w:val="Prrafodelista"/>
        <w:numPr>
          <w:ilvl w:val="1"/>
          <w:numId w:val="50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074EF9">
        <w:rPr>
          <w:rFonts w:ascii="Tahoma" w:hAnsi="Tahoma" w:cs="Tahoma"/>
        </w:rPr>
        <w:t>20.316,286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9.</w:t>
      </w:r>
      <w:r w:rsidR="00074EF9">
        <w:rPr>
          <w:rFonts w:ascii="Tahoma" w:hAnsi="Tahoma" w:cs="Tahoma"/>
        </w:rPr>
        <w:t>838.042</w:t>
      </w:r>
      <w:r>
        <w:rPr>
          <w:rFonts w:ascii="Tahoma" w:hAnsi="Tahoma" w:cs="Tahoma"/>
        </w:rPr>
        <w:t xml:space="preserve"> 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3D5BDF">
        <w:rPr>
          <w:rFonts w:ascii="Tahoma" w:hAnsi="Tahoma" w:cs="Tahoma"/>
        </w:rPr>
        <w:t xml:space="preserve"> 20.432,071  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$50.586.399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>es de crédito publico</w:t>
      </w:r>
      <w:r w:rsidR="003D5BDF">
        <w:rPr>
          <w:rFonts w:ascii="Tahoma" w:hAnsi="Tahoma" w:cs="Tahoma"/>
        </w:rPr>
        <w:tab/>
      </w:r>
      <w:r w:rsidR="003D5BDF">
        <w:rPr>
          <w:rFonts w:ascii="Tahoma" w:hAnsi="Tahoma" w:cs="Tahoma"/>
        </w:rPr>
        <w:tab/>
        <w:t>$ 13.747,591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Cuentas por Pagar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28,121,057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3D5BDF">
        <w:rPr>
          <w:rFonts w:ascii="Tahoma" w:hAnsi="Tahoma" w:cs="Tahoma"/>
        </w:rPr>
        <w:t xml:space="preserve">  421,729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$ 42,290,377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$50,586,399 / $42,290,377</w:t>
      </w:r>
      <w:r w:rsidR="001666F5" w:rsidRPr="00AD4CE9">
        <w:rPr>
          <w:rFonts w:ascii="Tahoma" w:hAnsi="Tahoma" w:cs="Tahoma"/>
        </w:rPr>
        <w:t xml:space="preserve"> = </w:t>
      </w:r>
      <w:r w:rsidR="008A0D90">
        <w:rPr>
          <w:rFonts w:ascii="Tahoma" w:hAnsi="Tahoma" w:cs="Tahoma"/>
        </w:rPr>
        <w:t>1,19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Administración Municipal de Melgar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8A0D90">
        <w:rPr>
          <w:rFonts w:ascii="Tahoma" w:hAnsi="Tahoma" w:cs="Tahoma"/>
        </w:rPr>
        <w:t>1,19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cubrirlos, lo 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8A0D90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$50.586.399 - $42,290,377</w:t>
      </w:r>
      <w:r w:rsidR="00204E7B" w:rsidRPr="00AD4CE9">
        <w:rPr>
          <w:rFonts w:ascii="Tahoma" w:hAnsi="Tahoma" w:cs="Tahoma"/>
        </w:rPr>
        <w:t xml:space="preserve"> 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8,296,022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42,290,377 / 259,929,361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16.26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402C3D">
        <w:rPr>
          <w:rFonts w:ascii="Tahoma" w:hAnsi="Tahoma" w:cs="Tahoma"/>
        </w:rPr>
        <w:t>16.26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402C3D">
        <w:rPr>
          <w:rFonts w:ascii="Tahoma" w:hAnsi="Tahoma" w:cs="Tahoma"/>
        </w:rPr>
        <w:t>196,699,035 /259,929,361</w:t>
      </w:r>
      <w:r w:rsidR="005A36ED" w:rsidRPr="00AD4CE9">
        <w:rPr>
          <w:rFonts w:ascii="Tahoma" w:hAnsi="Tahoma" w:cs="Tahoma"/>
        </w:rPr>
        <w:t xml:space="preserve"> </w:t>
      </w:r>
      <w:r w:rsidR="00402C3D">
        <w:rPr>
          <w:rFonts w:ascii="Tahoma" w:hAnsi="Tahoma" w:cs="Tahoma"/>
        </w:rPr>
        <w:t>= 75.67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nteriormente nos indica que el 75.67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AD4CE9">
      <w:pPr>
        <w:pStyle w:val="Prrafodelista"/>
        <w:numPr>
          <w:ilvl w:val="0"/>
          <w:numId w:val="50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Melgar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 xml:space="preserve">15.42% en la suma de  $34.734.634 </w:t>
      </w:r>
      <w:r w:rsidR="006756E8" w:rsidRPr="00AD4CE9">
        <w:rPr>
          <w:rFonts w:ascii="Tahoma" w:hAnsi="Tahoma" w:cs="Tahoma"/>
        </w:rPr>
        <w:t>(mi</w:t>
      </w:r>
      <w:r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402C3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6,11</w:t>
      </w:r>
      <w:r w:rsidR="006756E8" w:rsidRPr="00AD4CE9">
        <w:rPr>
          <w:rFonts w:ascii="Tahoma" w:hAnsi="Tahoma" w:cs="Tahoma"/>
        </w:rPr>
        <w:t>%, apalancado principalmente por la cuenta Resultados del Ejercicio</w:t>
      </w:r>
      <w:r w:rsidR="000D2062" w:rsidRPr="00AD4CE9">
        <w:rPr>
          <w:rFonts w:ascii="Tahoma" w:hAnsi="Tahoma" w:cs="Tahoma"/>
        </w:rPr>
        <w:t xml:space="preserve"> que presenta un excedente por la suma de $</w:t>
      </w:r>
      <w:r>
        <w:rPr>
          <w:rFonts w:ascii="Tahoma" w:hAnsi="Tahoma" w:cs="Tahoma"/>
        </w:rPr>
        <w:t>19,225,5</w:t>
      </w:r>
      <w:r w:rsidR="000D2062" w:rsidRPr="00AD4CE9">
        <w:rPr>
          <w:rFonts w:ascii="Tahoma" w:hAnsi="Tahoma" w:cs="Tahoma"/>
        </w:rPr>
        <w:t xml:space="preserve"> miles de $.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Pr="00AD4CE9">
        <w:rPr>
          <w:rFonts w:ascii="Tahoma" w:hAnsi="Tahoma" w:cs="Tahoma"/>
        </w:rPr>
        <w:t>, estaba representada en el 1</w:t>
      </w:r>
      <w:r w:rsidR="00402C3D">
        <w:rPr>
          <w:rFonts w:ascii="Tahoma" w:hAnsi="Tahoma" w:cs="Tahoma"/>
        </w:rPr>
        <w:t>24.32% los pasivos y el 75.68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402C3D">
        <w:rPr>
          <w:rFonts w:ascii="Tahoma" w:hAnsi="Tahoma" w:cs="Tahoma"/>
        </w:rPr>
        <w:t>16.26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municipio de Melgar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454B8B">
      <w:headerReference w:type="default" r:id="rId11"/>
      <w:footerReference w:type="default" r:id="rId12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2CA" w:rsidRDefault="00F072CA" w:rsidP="00650A99">
      <w:r>
        <w:separator/>
      </w:r>
    </w:p>
  </w:endnote>
  <w:endnote w:type="continuationSeparator" w:id="0">
    <w:p w:rsidR="00F072CA" w:rsidRDefault="00F072CA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2F4ACD" w:rsidRPr="002F4AC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2F4ACD">
                            <w:fldChar w:fldCharType="begin"/>
                          </w:r>
                          <w:r w:rsidR="002F4ACD">
                            <w:instrText>NUMPAGES  \* Arabic  \* MERGEFORMAT</w:instrText>
                          </w:r>
                          <w:r w:rsidR="002F4ACD">
                            <w:fldChar w:fldCharType="separate"/>
                          </w:r>
                          <w:r w:rsidR="002F4ACD" w:rsidRPr="002F4AC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="002F4AC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2F4ACD" w:rsidRPr="002F4AC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2F4ACD">
                      <w:fldChar w:fldCharType="begin"/>
                    </w:r>
                    <w:r w:rsidR="002F4ACD">
                      <w:instrText>NUMPAGES  \* Arabic  \* MERGEFORMAT</w:instrText>
                    </w:r>
                    <w:r w:rsidR="002F4ACD">
                      <w:fldChar w:fldCharType="separate"/>
                    </w:r>
                    <w:r w:rsidR="002F4ACD" w:rsidRPr="002F4AC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="002F4AC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2F4ACD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2F4ACD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2CA" w:rsidRDefault="00F072CA" w:rsidP="00650A99">
      <w:r>
        <w:separator/>
      </w:r>
    </w:p>
  </w:footnote>
  <w:footnote w:type="continuationSeparator" w:id="0">
    <w:p w:rsidR="00F072CA" w:rsidRDefault="00F072CA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226405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4FFA"/>
    <w:rsid w:val="000913E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24140"/>
    <w:rsid w:val="00226405"/>
    <w:rsid w:val="00226503"/>
    <w:rsid w:val="002467D6"/>
    <w:rsid w:val="00250B2A"/>
    <w:rsid w:val="00254A87"/>
    <w:rsid w:val="002608D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E1436"/>
    <w:rsid w:val="002E7240"/>
    <w:rsid w:val="002F4ACD"/>
    <w:rsid w:val="002F54E8"/>
    <w:rsid w:val="003026A2"/>
    <w:rsid w:val="00303824"/>
    <w:rsid w:val="00306CC6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7A76"/>
    <w:rsid w:val="00617E98"/>
    <w:rsid w:val="00630301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90B51"/>
    <w:rsid w:val="00991F22"/>
    <w:rsid w:val="009C0615"/>
    <w:rsid w:val="009D7ECE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6BE7"/>
    <w:rsid w:val="00C404DC"/>
    <w:rsid w:val="00C43064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E00EAB"/>
    <w:rsid w:val="00E06024"/>
    <w:rsid w:val="00E16EF6"/>
    <w:rsid w:val="00E35BA6"/>
    <w:rsid w:val="00E37DA4"/>
    <w:rsid w:val="00E438FA"/>
    <w:rsid w:val="00E44E11"/>
    <w:rsid w:val="00E562E9"/>
    <w:rsid w:val="00E745B9"/>
    <w:rsid w:val="00E80CF1"/>
    <w:rsid w:val="00EC5776"/>
    <w:rsid w:val="00ED18CB"/>
    <w:rsid w:val="00F067EF"/>
    <w:rsid w:val="00F072CA"/>
    <w:rsid w:val="00F11CE8"/>
    <w:rsid w:val="00F152E9"/>
    <w:rsid w:val="00F413A2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8C9EEFC3-5982-412D-A957-4F3AFB40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J:\Alvarado\Cuadro%20Comparativo.xls" TargetMode="External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Melgar\Cuadro%20Comparativo.xls" TargetMode="External"/><Relationship Id="rId1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#,##0</c:formatCode>
                <c:ptCount val="3"/>
                <c:pt idx="0">
                  <c:v>23967457</c:v>
                </c:pt>
                <c:pt idx="1">
                  <c:v>3094502</c:v>
                </c:pt>
                <c:pt idx="2">
                  <c:v>20872955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#,##0</c:formatCode>
                <c:ptCount val="3"/>
                <c:pt idx="0">
                  <c:v>12887957</c:v>
                </c:pt>
                <c:pt idx="1">
                  <c:v>1777361</c:v>
                </c:pt>
                <c:pt idx="2">
                  <c:v>11110596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6091296"/>
        <c:axId val="396095104"/>
        <c:axId val="0"/>
      </c:bar3DChart>
      <c:catAx>
        <c:axId val="396091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396095104"/>
        <c:crosses val="autoZero"/>
        <c:auto val="1"/>
        <c:lblAlgn val="ctr"/>
        <c:lblOffset val="100"/>
        <c:noMultiLvlLbl val="0"/>
      </c:catAx>
      <c:valAx>
        <c:axId val="396095104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3960912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s-CO" sz="1400" b="1" i="0" u="none" strike="noStrike" baseline="0">
                <a:solidFill>
                  <a:srgbClr val="FFFFFF"/>
                </a:solidFill>
                <a:latin typeface="Calibri"/>
              </a:rPr>
              <a:t>Estado de Actividad Financiera, Economica, Social y Ambiental </a:t>
            </a:r>
            <a:r>
              <a:rPr lang="es-CO" sz="1400" b="0" i="0" u="none" strike="noStrike" baseline="0">
                <a:solidFill>
                  <a:srgbClr val="FFFFFF"/>
                </a:solidFill>
                <a:latin typeface="Calibri"/>
              </a:rPr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Graficas!$A$22</c:f>
              <c:strCache>
                <c:ptCount val="1"/>
                <c:pt idx="0">
                  <c:v>INGRESOS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8995062675619554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28116424412721991"/>
                </c:manualLayout>
              </c:layout>
              <c:spPr/>
              <c:txPr>
                <a:bodyPr rot="-5400000" vert="horz"/>
                <a:lstStyle/>
                <a:p>
                  <a:pPr algn="ctr"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 algn="ctr"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Graficas!$B$22:$C$22</c:f>
              <c:numCache>
                <c:formatCode>#,##0</c:formatCode>
                <c:ptCount val="2"/>
                <c:pt idx="0">
                  <c:v>65442247</c:v>
                </c:pt>
                <c:pt idx="1">
                  <c:v>46920057</c:v>
                </c:pt>
              </c:numCache>
            </c:numRef>
          </c:val>
        </c:ser>
        <c:ser>
          <c:idx val="1"/>
          <c:order val="1"/>
          <c:tx>
            <c:strRef>
              <c:f>Graficas!$A$23</c:f>
              <c:strCache>
                <c:ptCount val="1"/>
                <c:pt idx="0">
                  <c:v>GASTOS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444444444444495E-2"/>
                  <c:y val="-4.15368639667705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Graficas!$B$23:$C$23</c:f>
              <c:numCache>
                <c:formatCode>#,##0</c:formatCode>
                <c:ptCount val="2"/>
                <c:pt idx="0">
                  <c:v>65442247</c:v>
                </c:pt>
                <c:pt idx="1">
                  <c:v>46920057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6095648"/>
        <c:axId val="395962864"/>
        <c:axId val="396115088"/>
      </c:bar3DChart>
      <c:catAx>
        <c:axId val="396095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395962864"/>
        <c:crosses val="autoZero"/>
        <c:auto val="1"/>
        <c:lblAlgn val="ctr"/>
        <c:lblOffset val="100"/>
        <c:noMultiLvlLbl val="0"/>
      </c:catAx>
      <c:valAx>
        <c:axId val="395962864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396095648"/>
        <c:crosses val="autoZero"/>
        <c:crossBetween val="between"/>
      </c:valAx>
      <c:serAx>
        <c:axId val="396115088"/>
        <c:scaling>
          <c:orientation val="minMax"/>
        </c:scaling>
        <c:delete val="1"/>
        <c:axPos val="b"/>
        <c:majorTickMark val="out"/>
        <c:minorTickMark val="none"/>
        <c:tickLblPos val="nextTo"/>
        <c:crossAx val="395962864"/>
        <c:crosses val="autoZero"/>
      </c:serAx>
      <c:spPr>
        <a:noFill/>
        <a:ln w="25400">
          <a:noFill/>
        </a:ln>
      </c:spPr>
    </c:plotArea>
    <c:legend>
      <c:legendPos val="r"/>
      <c:layout/>
      <c:overlay val="0"/>
      <c:spPr>
        <a:noFill/>
      </c:spPr>
      <c:txPr>
        <a:bodyPr/>
        <a:lstStyle/>
        <a:p>
          <a:pPr>
            <a:defRPr sz="920" b="1" i="0" u="none" strike="noStrike" baseline="0">
              <a:solidFill>
                <a:srgbClr val="FFFFFF"/>
              </a:solidFill>
              <a:latin typeface="Calibri"/>
              <a:ea typeface="Calibri"/>
              <a:cs typeface="Calibri"/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CO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1204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3</cp:revision>
  <cp:lastPrinted>2016-12-25T21:59:00Z</cp:lastPrinted>
  <dcterms:created xsi:type="dcterms:W3CDTF">2016-12-23T16:39:00Z</dcterms:created>
  <dcterms:modified xsi:type="dcterms:W3CDTF">2016-12-25T22:00:00Z</dcterms:modified>
</cp:coreProperties>
</file>